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806733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2914D1" w:rsidRPr="005C2E3D" w:rsidRDefault="002914D1" w:rsidP="002914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та доповнень до рішення  Ніжинської міської ради 7 скликання від 21.12.2017р. № 6-34/2017«Про міський бюджет м. Ніжина на 2018 рік»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на 41 сесію міської ради від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.08.2018 року.</w:t>
      </w:r>
    </w:p>
    <w:p w:rsidR="00D418AD" w:rsidRDefault="00D418AD" w:rsidP="002914D1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D418AD" w:rsidRPr="00D418AD" w:rsidRDefault="00D418AD" w:rsidP="00D418AD">
      <w:pPr>
        <w:pStyle w:val="4"/>
        <w:tabs>
          <w:tab w:val="left" w:pos="0"/>
        </w:tabs>
        <w:jc w:val="both"/>
        <w:rPr>
          <w:sz w:val="28"/>
          <w:szCs w:val="28"/>
          <w:lang w:val="uk-UA" w:eastAsia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</w:t>
      </w:r>
      <w:r w:rsidRPr="00560E16">
        <w:rPr>
          <w:sz w:val="28"/>
          <w:szCs w:val="28"/>
          <w:lang w:val="uk-UA" w:eastAsia="uk-UA"/>
        </w:rPr>
        <w:t>1.</w:t>
      </w:r>
      <w:r w:rsidRPr="00D418AD">
        <w:rPr>
          <w:b/>
          <w:sz w:val="28"/>
          <w:szCs w:val="28"/>
          <w:lang w:val="uk-UA" w:eastAsia="uk-UA"/>
        </w:rPr>
        <w:t xml:space="preserve"> Обґрунтування необхідності прийняття акту</w:t>
      </w:r>
      <w:r w:rsidRPr="00D418AD">
        <w:rPr>
          <w:sz w:val="28"/>
          <w:szCs w:val="28"/>
          <w:lang w:val="uk-UA" w:eastAsia="uk-UA"/>
        </w:rPr>
        <w:t>.</w:t>
      </w:r>
    </w:p>
    <w:p w:rsidR="00D418AD" w:rsidRDefault="00D418AD" w:rsidP="00D418AD">
      <w:pPr>
        <w:pStyle w:val="4"/>
        <w:tabs>
          <w:tab w:val="left" w:pos="5245"/>
        </w:tabs>
        <w:jc w:val="both"/>
        <w:rPr>
          <w:noProof/>
          <w:sz w:val="28"/>
          <w:lang w:val="uk-UA"/>
        </w:rPr>
      </w:pPr>
      <w:r w:rsidRPr="00D418AD">
        <w:rPr>
          <w:noProof/>
          <w:sz w:val="28"/>
          <w:lang w:val="uk-UA"/>
        </w:rPr>
        <w:t xml:space="preserve">         У відповідності до пункту 8 статті 78 Бюджетного кодексу  України,  рішення про внесення змін до бюджету може бути ухвалене міською радою в разі необхідності перерозподілу бюджетних призначень між головними розпорядниками бюджетних коштів (за наявності відповідного обгрунтування) та в інших випадках, передбачених  Кодексом.</w:t>
      </w:r>
    </w:p>
    <w:p w:rsidR="002914D1" w:rsidRPr="005C2E3D" w:rsidRDefault="00D418AD" w:rsidP="00291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0E1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914D1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2914D1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За підсумками  І півріччя  2018 року надходження власних та закріплених доходів  загального фонду бюджету міста  склали 109 328,4 тис. грн., або  111,9%, план перевиконано на 11 599,7 тис. грн.</w:t>
      </w:r>
    </w:p>
    <w:p w:rsidR="002914D1" w:rsidRPr="005C2E3D" w:rsidRDefault="002914D1" w:rsidP="002914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Однак, з урахуванням середньомісячного  планового  показника  по доходах (6/12) в обсязі  113 179,7 тис. грн. та фактичних  надходжень 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109 328,4 тис. грн.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, невиконання плану складає 3 851,3 тис. грн.    </w:t>
      </w:r>
    </w:p>
    <w:p w:rsidR="002914D1" w:rsidRPr="005C2E3D" w:rsidRDefault="002914D1" w:rsidP="00291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Протягом півріччя зберігалась тенденція щодо скорочення в порівнянні з минулим роком </w:t>
      </w:r>
      <w:r w:rsidRPr="005C2E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E3D">
        <w:rPr>
          <w:rFonts w:ascii="Times New Roman" w:hAnsi="Times New Roman" w:cs="Times New Roman"/>
          <w:sz w:val="28"/>
          <w:szCs w:val="28"/>
        </w:rPr>
        <w:t>надходжен</w:t>
      </w:r>
      <w:proofErr w:type="spellEnd"/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ь </w:t>
      </w:r>
      <w:r w:rsidRPr="005C2E3D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5C2E3D">
        <w:rPr>
          <w:rFonts w:ascii="Times New Roman" w:hAnsi="Times New Roman" w:cs="Times New Roman"/>
          <w:sz w:val="28"/>
          <w:szCs w:val="28"/>
        </w:rPr>
        <w:t>платі</w:t>
      </w:r>
      <w:proofErr w:type="spellEnd"/>
      <w:r w:rsidRPr="005C2E3D">
        <w:rPr>
          <w:rFonts w:ascii="Times New Roman" w:hAnsi="Times New Roman" w:cs="Times New Roman"/>
          <w:sz w:val="28"/>
          <w:szCs w:val="28"/>
        </w:rPr>
        <w:t xml:space="preserve"> за землю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C2E3D">
        <w:rPr>
          <w:rFonts w:ascii="Times New Roman" w:hAnsi="Times New Roman" w:cs="Times New Roman"/>
          <w:sz w:val="28"/>
          <w:szCs w:val="28"/>
        </w:rPr>
        <w:t xml:space="preserve">на 672,8 тис. </w:t>
      </w:r>
      <w:proofErr w:type="spellStart"/>
      <w:r w:rsidRPr="005C2E3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5C2E3D">
        <w:rPr>
          <w:rFonts w:ascii="Times New Roman" w:hAnsi="Times New Roman" w:cs="Times New Roman"/>
          <w:sz w:val="28"/>
          <w:szCs w:val="28"/>
        </w:rPr>
        <w:t>.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,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видах </w:t>
      </w:r>
      <w:proofErr w:type="spellStart"/>
      <w:r w:rsidRPr="005C2E3D">
        <w:rPr>
          <w:rFonts w:ascii="Times New Roman" w:hAnsi="Times New Roman" w:cs="Times New Roman"/>
          <w:sz w:val="28"/>
          <w:szCs w:val="28"/>
        </w:rPr>
        <w:t>акцизно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C2E3D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5C2E3D">
        <w:rPr>
          <w:rFonts w:ascii="Times New Roman" w:hAnsi="Times New Roman" w:cs="Times New Roman"/>
          <w:sz w:val="28"/>
          <w:szCs w:val="28"/>
        </w:rPr>
        <w:t xml:space="preserve">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– в ціл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му на 1 527,5 тис</w:t>
      </w:r>
      <w:proofErr w:type="gramStart"/>
      <w:r w:rsidRPr="005C2E3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C2E3D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gramEnd"/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рн. </w:t>
      </w:r>
    </w:p>
    <w:p w:rsidR="002914D1" w:rsidRPr="005C2E3D" w:rsidRDefault="002914D1" w:rsidP="00291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При затвердженні бюджету на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 план по доходах  було збільшено в порівнянні з фактичними надходженнями 2017 року на 22,5 млн. грн., або на 11%. Тому, враховуючи динаміку надходжень з початку року, очікуване виконання бюджету по доходах за 2018 рік може скласти 229,0 млн. грн. з перевиконанням річного плану на 2,6 млн. грн.</w:t>
      </w:r>
    </w:p>
    <w:p w:rsidR="002914D1" w:rsidRPr="005C2E3D" w:rsidRDefault="002914D1" w:rsidP="00291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  При цьому, дефіцит коштів до кінця року лише на захищені статті 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кладає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28 751,8 тис. грн.: 25 610,3 тис. грн. по заробітній платі по всіх бюджетних установах, 246,5 тис. грн. по енергоносіях в діючих тарифах, 2 895,0 тис. грн. по харчуванню.</w:t>
      </w:r>
    </w:p>
    <w:p w:rsidR="002914D1" w:rsidRPr="005C2E3D" w:rsidRDefault="002914D1" w:rsidP="00291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  За прогнозними розрахунками, станом на 01.01.2019 року складеться кредиторська заборгованість по заробітній платі за грудень поточного року в розмірі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близько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15,0 млн. грн., по  поточних видатках 3,4 млн. грн., яка буде виплачуватись за рахунок бюджету 2019 року, що значно ускладнить його планування і виконання.</w:t>
      </w:r>
    </w:p>
    <w:p w:rsidR="002914D1" w:rsidRPr="005C2E3D" w:rsidRDefault="002914D1" w:rsidP="002914D1">
      <w:pPr>
        <w:pStyle w:val="a6"/>
        <w:ind w:firstLine="709"/>
        <w:rPr>
          <w:noProof w:val="0"/>
          <w:sz w:val="28"/>
          <w:szCs w:val="28"/>
          <w:lang w:val="uk-UA"/>
        </w:rPr>
      </w:pPr>
      <w:r w:rsidRPr="005C2E3D">
        <w:rPr>
          <w:sz w:val="28"/>
          <w:szCs w:val="28"/>
          <w:lang w:val="uk-UA"/>
        </w:rPr>
        <w:t>В поточному році збільшився розрив між доходами і видатками бюджету</w:t>
      </w:r>
      <w:r>
        <w:rPr>
          <w:sz w:val="28"/>
          <w:szCs w:val="28"/>
          <w:lang w:val="uk-UA"/>
        </w:rPr>
        <w:t xml:space="preserve">, </w:t>
      </w:r>
      <w:r w:rsidRPr="005C2E3D">
        <w:rPr>
          <w:sz w:val="28"/>
          <w:szCs w:val="28"/>
          <w:lang w:val="uk-UA"/>
        </w:rPr>
        <w:t xml:space="preserve"> т</w:t>
      </w:r>
      <w:proofErr w:type="spellStart"/>
      <w:r w:rsidRPr="005C2E3D">
        <w:rPr>
          <w:noProof w:val="0"/>
          <w:sz w:val="28"/>
          <w:szCs w:val="28"/>
          <w:lang w:val="uk-UA"/>
        </w:rPr>
        <w:t>емпи</w:t>
      </w:r>
      <w:proofErr w:type="spellEnd"/>
      <w:r w:rsidRPr="005C2E3D">
        <w:rPr>
          <w:noProof w:val="0"/>
          <w:sz w:val="28"/>
          <w:szCs w:val="28"/>
          <w:lang w:val="uk-UA"/>
        </w:rPr>
        <w:t xml:space="preserve"> росту видатків значно перевищують темпи росту доходів бюджету. Так, за звітний період доходи загального фонду бюджету </w:t>
      </w:r>
      <w:r w:rsidRPr="005C2E3D">
        <w:rPr>
          <w:sz w:val="28"/>
          <w:szCs w:val="28"/>
          <w:lang w:val="uk-UA"/>
        </w:rPr>
        <w:t xml:space="preserve">в порівнянні з відповідним періодом минулого року </w:t>
      </w:r>
      <w:r w:rsidRPr="005C2E3D">
        <w:rPr>
          <w:noProof w:val="0"/>
          <w:sz w:val="28"/>
          <w:szCs w:val="28"/>
          <w:lang w:val="uk-UA"/>
        </w:rPr>
        <w:t xml:space="preserve">зросли на 15 960,9 тис. грн. або на 16,0%, в тому числі власні та закріплені доходи на 13 651,0 тис. грн. або на 14,2%, базова дотація з державного бюджету на 2 309,9 тис. грн. або на 54,3%. </w:t>
      </w:r>
      <w:r w:rsidRPr="005C2E3D">
        <w:rPr>
          <w:sz w:val="28"/>
          <w:szCs w:val="28"/>
          <w:lang w:val="uk-UA"/>
        </w:rPr>
        <w:t>Видатки загального фонду бюджету зросли на 36 770,9 тис. грн. або на 22,3%, в тому числі на захищені статті на 36 600,3 тис. грн. або на 25,2%</w:t>
      </w:r>
      <w:r>
        <w:rPr>
          <w:sz w:val="28"/>
          <w:szCs w:val="28"/>
          <w:lang w:val="uk-UA"/>
        </w:rPr>
        <w:t>,</w:t>
      </w:r>
      <w:r w:rsidRPr="005C2E3D">
        <w:rPr>
          <w:sz w:val="28"/>
          <w:szCs w:val="28"/>
          <w:lang w:val="uk-UA"/>
        </w:rPr>
        <w:t xml:space="preserve"> </w:t>
      </w:r>
      <w:r w:rsidRPr="005C2E3D">
        <w:rPr>
          <w:szCs w:val="24"/>
          <w:lang w:val="uk-UA"/>
        </w:rPr>
        <w:t xml:space="preserve"> </w:t>
      </w:r>
      <w:r w:rsidRPr="005C2E3D">
        <w:rPr>
          <w:sz w:val="28"/>
          <w:szCs w:val="28"/>
          <w:lang w:val="uk-UA"/>
        </w:rPr>
        <w:t xml:space="preserve">їх питома вага в загальних видатках збільшилась на 2,3%. </w:t>
      </w:r>
    </w:p>
    <w:p w:rsidR="002914D1" w:rsidRPr="005C2E3D" w:rsidRDefault="002914D1" w:rsidP="002914D1">
      <w:pPr>
        <w:pStyle w:val="a6"/>
        <w:ind w:firstLine="709"/>
        <w:rPr>
          <w:sz w:val="28"/>
          <w:szCs w:val="28"/>
          <w:lang w:val="uk-UA"/>
        </w:rPr>
      </w:pPr>
      <w:r w:rsidRPr="005C2E3D">
        <w:rPr>
          <w:noProof w:val="0"/>
          <w:sz w:val="28"/>
          <w:szCs w:val="28"/>
          <w:lang w:val="uk-UA"/>
        </w:rPr>
        <w:t xml:space="preserve">Касовий розрив перекривався казначейськими позиками. </w:t>
      </w:r>
      <w:r w:rsidRPr="005C2E3D">
        <w:rPr>
          <w:sz w:val="28"/>
          <w:szCs w:val="28"/>
          <w:lang w:val="uk-UA"/>
        </w:rPr>
        <w:t>Всього було оформлено  8 позик на суму 59</w:t>
      </w:r>
      <w:r>
        <w:rPr>
          <w:sz w:val="28"/>
          <w:szCs w:val="28"/>
          <w:lang w:val="uk-UA"/>
        </w:rPr>
        <w:t>,6 млн</w:t>
      </w:r>
      <w:r w:rsidRPr="005C2E3D">
        <w:rPr>
          <w:sz w:val="28"/>
          <w:szCs w:val="28"/>
          <w:lang w:val="uk-UA"/>
        </w:rPr>
        <w:t>. грн.  Станом на 01.07.2018 року  залишок непогашеної  позики складав 14</w:t>
      </w:r>
      <w:r>
        <w:rPr>
          <w:sz w:val="28"/>
          <w:szCs w:val="28"/>
          <w:lang w:val="uk-UA"/>
        </w:rPr>
        <w:t>,1 млн</w:t>
      </w:r>
      <w:r w:rsidRPr="005C2E3D">
        <w:rPr>
          <w:sz w:val="28"/>
          <w:szCs w:val="28"/>
          <w:lang w:val="uk-UA"/>
        </w:rPr>
        <w:t>. грн.</w:t>
      </w:r>
    </w:p>
    <w:p w:rsidR="002914D1" w:rsidRDefault="002914D1" w:rsidP="00291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В даних умовах значно ускладнилось фінансування </w:t>
      </w:r>
      <w:proofErr w:type="spellStart"/>
      <w:r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>непершочергових</w:t>
      </w:r>
      <w:proofErr w:type="spellEnd"/>
      <w:r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поточних і капітальних видатків. Станом на 30.0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>.18 р. фінансовому у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правлінню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надано заявок на фінансування на суму 8 226,2 тис. грн. Доходи бюджету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попередній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тиждень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(23-27 липня)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склали 883,0 тис. грн. Тобто, для оплати даних заявок, без врахування нових рахунків, необхідно буде 1,5-2,0 місяці. Управління звернулось з листом до всіх бюджетних установ з вимогою до кінця року надзвичайно обережно і виважено ставитись до взяття нових рахунків і планування нових робіт. </w:t>
      </w:r>
    </w:p>
    <w:p w:rsidR="002914D1" w:rsidRPr="005C2E3D" w:rsidRDefault="002914D1" w:rsidP="002914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Те ж саме стосується і комунальної сфери.</w:t>
      </w:r>
    </w:p>
    <w:p w:rsidR="002914D1" w:rsidRPr="005C2E3D" w:rsidRDefault="002914D1" w:rsidP="002914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зазначене, з метою запобігання нарощуванню кредиторської заборгованості, </w:t>
      </w:r>
      <w:r>
        <w:rPr>
          <w:rFonts w:ascii="Times New Roman" w:hAnsi="Times New Roman" w:cs="Times New Roman"/>
          <w:sz w:val="28"/>
          <w:szCs w:val="28"/>
          <w:lang w:val="uk-UA"/>
        </w:rPr>
        <w:t>бюджетною комісією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пропонує</w:t>
      </w:r>
      <w:r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914D1" w:rsidRPr="005C2E3D" w:rsidRDefault="002914D1" w:rsidP="002914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- збільшити доходи і видатки бюджету </w:t>
      </w:r>
      <w:r w:rsidRPr="002914D1">
        <w:rPr>
          <w:rFonts w:ascii="Times New Roman" w:hAnsi="Times New Roman" w:cs="Times New Roman"/>
          <w:b/>
          <w:sz w:val="28"/>
          <w:szCs w:val="28"/>
          <w:lang w:val="uk-UA"/>
        </w:rPr>
        <w:t>на 11 500,0 тис. грн.,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з яких 85% або 9 775,0 тис. грн. направити на заробітну плату і енергоносії згідно з листом Департаменту фінансів ОДА від 25.05.2018 р. №07-20/188, </w:t>
      </w:r>
      <w:r w:rsidRPr="002914D1">
        <w:rPr>
          <w:rFonts w:ascii="Times New Roman" w:hAnsi="Times New Roman" w:cs="Times New Roman"/>
          <w:b/>
          <w:sz w:val="28"/>
          <w:szCs w:val="28"/>
          <w:lang w:val="uk-UA"/>
        </w:rPr>
        <w:t>1 725,0 тис. грн.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розподілити на соціально важливі видатки, поточні ремонти аварійно небезпечних об’єктів за зверненнями керівників бюджетних установ, частково на  усунення пору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шень пожежної безпеки, компенсаційні виплати  за проїзд окремих категорій громадян,благоустрій,  утримання аварійної бригади,  забезпечення інсуліном,  харчування донорів, Чернігівському обласному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онкодиспансеру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інша субвенція з міського бюджету, ;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914D1" w:rsidRPr="005C2E3D" w:rsidRDefault="002914D1" w:rsidP="002914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зміни в частині міжбюджетних трансфертів</w:t>
      </w:r>
      <w:r>
        <w:rPr>
          <w:rFonts w:ascii="Times New Roman" w:hAnsi="Times New Roman" w:cs="Times New Roman"/>
          <w:sz w:val="28"/>
          <w:szCs w:val="28"/>
          <w:lang w:val="uk-UA"/>
        </w:rPr>
        <w:t>, збільшення на 105,0 тис. грн. та зменшення н7а 1015,0 тис. грн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914D1" w:rsidRPr="005C2E3D" w:rsidRDefault="002914D1" w:rsidP="002914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>- провести зміни в межах затверджених бюджетних призначень за зверненнями 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 т.ч. за рахунок зменшення плану Резервного фонду на : погашення боргів "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Укртелекому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" за 2017 рік,  придбання медичних бланків,  поточні ремонти, послуги за оформлення  матеріалів про діяльність  установ на сіті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лайтах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18AD" w:rsidRPr="00D52566" w:rsidRDefault="00D418AD" w:rsidP="002914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18AD" w:rsidRPr="00D418AD" w:rsidRDefault="00D418AD" w:rsidP="00D418AD">
      <w:pPr>
        <w:tabs>
          <w:tab w:val="left" w:pos="102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18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</w:p>
    <w:p w:rsidR="00D418AD" w:rsidRPr="00D418AD" w:rsidRDefault="00D418AD" w:rsidP="00D418AD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18AD">
        <w:rPr>
          <w:rFonts w:ascii="Times New Roman" w:hAnsi="Times New Roman" w:cs="Times New Roman"/>
          <w:b/>
          <w:sz w:val="28"/>
          <w:szCs w:val="28"/>
          <w:lang w:val="uk-UA"/>
        </w:rPr>
        <w:t>2. Стан нормативно-правової бази у даній сфері правового регулювання.</w:t>
      </w:r>
    </w:p>
    <w:p w:rsidR="00D418AD" w:rsidRPr="00D418AD" w:rsidRDefault="00D418AD" w:rsidP="00D418AD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18AD">
        <w:rPr>
          <w:rFonts w:ascii="Times New Roman" w:hAnsi="Times New Roman" w:cs="Times New Roman"/>
          <w:sz w:val="28"/>
          <w:szCs w:val="28"/>
          <w:lang w:val="uk-UA"/>
        </w:rPr>
        <w:t>Нормативною базою в даній сфері правового регулювання є:</w:t>
      </w:r>
    </w:p>
    <w:p w:rsidR="00D418AD" w:rsidRPr="00D418AD" w:rsidRDefault="00D418AD" w:rsidP="00D418AD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418AD">
        <w:rPr>
          <w:rFonts w:ascii="Times New Roman" w:hAnsi="Times New Roman" w:cs="Times New Roman"/>
          <w:sz w:val="28"/>
          <w:szCs w:val="28"/>
        </w:rPr>
        <w:t>Конституці</w:t>
      </w:r>
      <w:proofErr w:type="spellEnd"/>
      <w:r w:rsidRPr="00D418A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D418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18A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418A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18AD" w:rsidRPr="00D418AD" w:rsidRDefault="00D418AD" w:rsidP="00D418AD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18AD">
        <w:rPr>
          <w:rFonts w:ascii="Times New Roman" w:hAnsi="Times New Roman" w:cs="Times New Roman"/>
          <w:sz w:val="28"/>
          <w:szCs w:val="28"/>
          <w:lang w:val="uk-UA"/>
        </w:rPr>
        <w:t>Бюджетний кодекс України;</w:t>
      </w:r>
    </w:p>
    <w:p w:rsidR="00D418AD" w:rsidRPr="00D418AD" w:rsidRDefault="00D418AD" w:rsidP="00D418AD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D418AD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Pr="00D418A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418AD">
        <w:rPr>
          <w:rFonts w:ascii="Times New Roman" w:hAnsi="Times New Roman" w:cs="Times New Roman"/>
          <w:sz w:val="28"/>
          <w:szCs w:val="28"/>
        </w:rPr>
        <w:t xml:space="preserve"> </w:t>
      </w:r>
      <w:r w:rsidRPr="00D418AD">
        <w:rPr>
          <w:rFonts w:ascii="Times New Roman" w:hAnsi="Times New Roman" w:cs="Times New Roman"/>
          <w:noProof/>
          <w:sz w:val="28"/>
          <w:szCs w:val="28"/>
        </w:rPr>
        <w:t>"</w:t>
      </w:r>
      <w:r w:rsidRPr="00D418A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418AD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418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18AD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418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418AD">
        <w:rPr>
          <w:rFonts w:ascii="Times New Roman" w:hAnsi="Times New Roman" w:cs="Times New Roman"/>
          <w:sz w:val="28"/>
          <w:szCs w:val="28"/>
        </w:rPr>
        <w:t>Украї</w:t>
      </w:r>
      <w:proofErr w:type="gramStart"/>
      <w:r w:rsidRPr="00D418A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418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418AD">
        <w:rPr>
          <w:rFonts w:ascii="Times New Roman" w:hAnsi="Times New Roman" w:cs="Times New Roman"/>
          <w:noProof/>
          <w:sz w:val="28"/>
          <w:szCs w:val="28"/>
        </w:rPr>
        <w:t>"</w:t>
      </w:r>
      <w:r w:rsidRPr="00D418AD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</w:p>
    <w:p w:rsidR="00D418AD" w:rsidRPr="00D418AD" w:rsidRDefault="00D418AD" w:rsidP="00D418AD">
      <w:pPr>
        <w:tabs>
          <w:tab w:val="left" w:pos="1020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18AD" w:rsidRPr="00D418AD" w:rsidRDefault="00D418AD" w:rsidP="00D418A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18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Фінансово-економічне </w:t>
      </w:r>
      <w:r w:rsidRPr="00D418A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обґрунтування.</w:t>
      </w:r>
      <w:r w:rsidRPr="00D418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418AD" w:rsidRPr="00D418AD" w:rsidRDefault="00D418AD" w:rsidP="00D418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18AD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проекту рішення передбачає  використання додаткових  коштів та коштів за рахунок перерозподілу їх в межах бюджету.   </w:t>
      </w:r>
    </w:p>
    <w:p w:rsidR="00D418AD" w:rsidRPr="00D418AD" w:rsidRDefault="00D418AD" w:rsidP="00D418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2EEF" w:rsidRPr="0037407A" w:rsidRDefault="00E16F0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D5F25" w:rsidRDefault="00F86D27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2EE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D5F25" w:rsidRDefault="004D5F25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5F25" w:rsidRDefault="004D5F25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37407A" w:rsidRDefault="00F32EEF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AF2" w:rsidRPr="0037407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1ECC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37407A" w:rsidSect="004D5F25">
      <w:pgSz w:w="11906" w:h="16838"/>
      <w:pgMar w:top="709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0DBA"/>
    <w:multiLevelType w:val="hybridMultilevel"/>
    <w:tmpl w:val="D0F61436"/>
    <w:lvl w:ilvl="0" w:tplc="2716DB2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33C43"/>
    <w:multiLevelType w:val="hybridMultilevel"/>
    <w:tmpl w:val="BCBC2E38"/>
    <w:lvl w:ilvl="0" w:tplc="90D854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12E3F"/>
    <w:multiLevelType w:val="hybridMultilevel"/>
    <w:tmpl w:val="C6FC63A2"/>
    <w:lvl w:ilvl="0" w:tplc="3E0494F2"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>
    <w:nsid w:val="4A945D6F"/>
    <w:multiLevelType w:val="hybridMultilevel"/>
    <w:tmpl w:val="2C90FBD0"/>
    <w:lvl w:ilvl="0" w:tplc="179C2394">
      <w:start w:val="3"/>
      <w:numFmt w:val="decimal"/>
      <w:lvlText w:val="%1."/>
      <w:lvlJc w:val="left"/>
      <w:pPr>
        <w:ind w:left="5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20262"/>
    <w:rsid w:val="00032EE1"/>
    <w:rsid w:val="00033983"/>
    <w:rsid w:val="00062920"/>
    <w:rsid w:val="00070E9E"/>
    <w:rsid w:val="0008007B"/>
    <w:rsid w:val="000931F1"/>
    <w:rsid w:val="0009742B"/>
    <w:rsid w:val="000A40F1"/>
    <w:rsid w:val="000A432A"/>
    <w:rsid w:val="000C38B6"/>
    <w:rsid w:val="000D5290"/>
    <w:rsid w:val="000D6F7E"/>
    <w:rsid w:val="000E0665"/>
    <w:rsid w:val="00104E9B"/>
    <w:rsid w:val="00132EAC"/>
    <w:rsid w:val="001374B8"/>
    <w:rsid w:val="001673F4"/>
    <w:rsid w:val="00170B9A"/>
    <w:rsid w:val="001757C0"/>
    <w:rsid w:val="00175E16"/>
    <w:rsid w:val="001B4B81"/>
    <w:rsid w:val="001C2873"/>
    <w:rsid w:val="001C2E73"/>
    <w:rsid w:val="001D24E2"/>
    <w:rsid w:val="00203605"/>
    <w:rsid w:val="00203A04"/>
    <w:rsid w:val="00217086"/>
    <w:rsid w:val="002245F2"/>
    <w:rsid w:val="00262246"/>
    <w:rsid w:val="00267A68"/>
    <w:rsid w:val="002738CD"/>
    <w:rsid w:val="002754C7"/>
    <w:rsid w:val="00282810"/>
    <w:rsid w:val="0028347E"/>
    <w:rsid w:val="00283647"/>
    <w:rsid w:val="00286443"/>
    <w:rsid w:val="002867E8"/>
    <w:rsid w:val="002914D1"/>
    <w:rsid w:val="00292ADA"/>
    <w:rsid w:val="002B12D9"/>
    <w:rsid w:val="002B19E5"/>
    <w:rsid w:val="002E3AF2"/>
    <w:rsid w:val="002F037E"/>
    <w:rsid w:val="002F7DBC"/>
    <w:rsid w:val="003050F0"/>
    <w:rsid w:val="00321E3C"/>
    <w:rsid w:val="00336DA4"/>
    <w:rsid w:val="00350A28"/>
    <w:rsid w:val="003527ED"/>
    <w:rsid w:val="0035506D"/>
    <w:rsid w:val="00357697"/>
    <w:rsid w:val="003576C1"/>
    <w:rsid w:val="0037407A"/>
    <w:rsid w:val="003747F6"/>
    <w:rsid w:val="00390EA0"/>
    <w:rsid w:val="003A3E05"/>
    <w:rsid w:val="003D2292"/>
    <w:rsid w:val="003E18DB"/>
    <w:rsid w:val="004001B6"/>
    <w:rsid w:val="0041198F"/>
    <w:rsid w:val="00443AEC"/>
    <w:rsid w:val="004635E3"/>
    <w:rsid w:val="004678BD"/>
    <w:rsid w:val="004826CC"/>
    <w:rsid w:val="004A391F"/>
    <w:rsid w:val="004A3BC5"/>
    <w:rsid w:val="004A7C1A"/>
    <w:rsid w:val="004D32A9"/>
    <w:rsid w:val="004D5F25"/>
    <w:rsid w:val="004F1242"/>
    <w:rsid w:val="004F3696"/>
    <w:rsid w:val="00504451"/>
    <w:rsid w:val="00526639"/>
    <w:rsid w:val="0053207B"/>
    <w:rsid w:val="005433EE"/>
    <w:rsid w:val="00555C7F"/>
    <w:rsid w:val="00560E16"/>
    <w:rsid w:val="00567E16"/>
    <w:rsid w:val="00596CD9"/>
    <w:rsid w:val="005A20EC"/>
    <w:rsid w:val="005C00F6"/>
    <w:rsid w:val="005D1313"/>
    <w:rsid w:val="005D3AEC"/>
    <w:rsid w:val="00600DF1"/>
    <w:rsid w:val="00624A41"/>
    <w:rsid w:val="00626529"/>
    <w:rsid w:val="00637BE6"/>
    <w:rsid w:val="006609A1"/>
    <w:rsid w:val="00661FC0"/>
    <w:rsid w:val="00671346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62E4D"/>
    <w:rsid w:val="00764547"/>
    <w:rsid w:val="0077519E"/>
    <w:rsid w:val="00784F22"/>
    <w:rsid w:val="007975A2"/>
    <w:rsid w:val="007A7BBC"/>
    <w:rsid w:val="007B052C"/>
    <w:rsid w:val="007B1E00"/>
    <w:rsid w:val="007F4988"/>
    <w:rsid w:val="00804881"/>
    <w:rsid w:val="0080540B"/>
    <w:rsid w:val="00806733"/>
    <w:rsid w:val="0081064B"/>
    <w:rsid w:val="00820AFE"/>
    <w:rsid w:val="00854A26"/>
    <w:rsid w:val="0086100B"/>
    <w:rsid w:val="008A4959"/>
    <w:rsid w:val="008A59D1"/>
    <w:rsid w:val="008D59BB"/>
    <w:rsid w:val="008E0E30"/>
    <w:rsid w:val="008F6C62"/>
    <w:rsid w:val="00900507"/>
    <w:rsid w:val="0092321B"/>
    <w:rsid w:val="00940603"/>
    <w:rsid w:val="00942245"/>
    <w:rsid w:val="00945048"/>
    <w:rsid w:val="00957981"/>
    <w:rsid w:val="009738A6"/>
    <w:rsid w:val="009764C6"/>
    <w:rsid w:val="009A48FD"/>
    <w:rsid w:val="009A686E"/>
    <w:rsid w:val="009A6A0D"/>
    <w:rsid w:val="009C149E"/>
    <w:rsid w:val="009D14E8"/>
    <w:rsid w:val="009D32C2"/>
    <w:rsid w:val="009D4E7A"/>
    <w:rsid w:val="009E373D"/>
    <w:rsid w:val="009F0C48"/>
    <w:rsid w:val="009F62A1"/>
    <w:rsid w:val="00A34451"/>
    <w:rsid w:val="00A34C00"/>
    <w:rsid w:val="00A37B04"/>
    <w:rsid w:val="00A8014C"/>
    <w:rsid w:val="00A926FA"/>
    <w:rsid w:val="00A9697B"/>
    <w:rsid w:val="00AA1EA9"/>
    <w:rsid w:val="00AB2A34"/>
    <w:rsid w:val="00AB4ED6"/>
    <w:rsid w:val="00AC1873"/>
    <w:rsid w:val="00AC57E5"/>
    <w:rsid w:val="00B27957"/>
    <w:rsid w:val="00B40D03"/>
    <w:rsid w:val="00B55D81"/>
    <w:rsid w:val="00B720BB"/>
    <w:rsid w:val="00B81843"/>
    <w:rsid w:val="00B821AE"/>
    <w:rsid w:val="00BB6204"/>
    <w:rsid w:val="00BC64B5"/>
    <w:rsid w:val="00BD6A7E"/>
    <w:rsid w:val="00BE0B23"/>
    <w:rsid w:val="00BE2970"/>
    <w:rsid w:val="00BF1D72"/>
    <w:rsid w:val="00BF4C2D"/>
    <w:rsid w:val="00C0091D"/>
    <w:rsid w:val="00C1622B"/>
    <w:rsid w:val="00C42BA1"/>
    <w:rsid w:val="00C74EA6"/>
    <w:rsid w:val="00C775A7"/>
    <w:rsid w:val="00C77605"/>
    <w:rsid w:val="00C8669C"/>
    <w:rsid w:val="00CB4E71"/>
    <w:rsid w:val="00CC127F"/>
    <w:rsid w:val="00CC6C11"/>
    <w:rsid w:val="00CD4596"/>
    <w:rsid w:val="00CE3906"/>
    <w:rsid w:val="00D07851"/>
    <w:rsid w:val="00D10D33"/>
    <w:rsid w:val="00D418AD"/>
    <w:rsid w:val="00D44547"/>
    <w:rsid w:val="00D456A8"/>
    <w:rsid w:val="00D52566"/>
    <w:rsid w:val="00D67BE9"/>
    <w:rsid w:val="00D86961"/>
    <w:rsid w:val="00D952E7"/>
    <w:rsid w:val="00DA0437"/>
    <w:rsid w:val="00DA425F"/>
    <w:rsid w:val="00DD6D73"/>
    <w:rsid w:val="00DE17E8"/>
    <w:rsid w:val="00DE42A7"/>
    <w:rsid w:val="00E05948"/>
    <w:rsid w:val="00E16F09"/>
    <w:rsid w:val="00E20857"/>
    <w:rsid w:val="00E2767E"/>
    <w:rsid w:val="00E3787B"/>
    <w:rsid w:val="00E84381"/>
    <w:rsid w:val="00E84617"/>
    <w:rsid w:val="00E93C70"/>
    <w:rsid w:val="00EC37AB"/>
    <w:rsid w:val="00EE1ECC"/>
    <w:rsid w:val="00F07759"/>
    <w:rsid w:val="00F079F0"/>
    <w:rsid w:val="00F32EEF"/>
    <w:rsid w:val="00F35571"/>
    <w:rsid w:val="00F56A14"/>
    <w:rsid w:val="00F67734"/>
    <w:rsid w:val="00F71678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Обычный4"/>
    <w:rsid w:val="00D41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0E16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2914D1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914D1"/>
    <w:rPr>
      <w:rFonts w:ascii="Times New Roman" w:eastAsia="Times New Roman" w:hAnsi="Times New Roman" w:cs="Times New Roman"/>
      <w:noProof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44AC1-592A-4B91-8EED-43BAD473B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Finance</cp:lastModifiedBy>
  <cp:revision>123</cp:revision>
  <cp:lastPrinted>2018-07-06T06:33:00Z</cp:lastPrinted>
  <dcterms:created xsi:type="dcterms:W3CDTF">2017-03-24T07:45:00Z</dcterms:created>
  <dcterms:modified xsi:type="dcterms:W3CDTF">2018-08-06T12:35:00Z</dcterms:modified>
</cp:coreProperties>
</file>